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75" w:rsidRPr="00B12DFF" w:rsidRDefault="00870575" w:rsidP="00870575">
      <w:pPr>
        <w:jc w:val="center"/>
        <w:rPr>
          <w:color w:val="0000FF"/>
          <w:u w:val="single"/>
          <w:vertAlign w:val="superscript"/>
        </w:rPr>
      </w:pPr>
      <w:r w:rsidRPr="00B12DFF">
        <w:rPr>
          <w:color w:val="0000FF"/>
          <w:u w:val="single"/>
        </w:rPr>
        <w:t>INTERPRETATION OF OIL ANALYSIS RESULTS</w:t>
      </w:r>
    </w:p>
    <w:p w:rsidR="00870575" w:rsidRPr="00C92E27" w:rsidRDefault="00870575" w:rsidP="00870575">
      <w:pPr>
        <w:pStyle w:val="BodyText"/>
        <w:rPr>
          <w:rFonts w:ascii="Arial Narrow" w:hAnsi="Arial Narrow"/>
        </w:rPr>
      </w:pPr>
      <w:r w:rsidRPr="00C92E27">
        <w:rPr>
          <w:rFonts w:ascii="Arial Narrow" w:hAnsi="Arial Narrow"/>
        </w:rPr>
        <w:t xml:space="preserve">Oil analysis, when correctly used, can be a valuable preventative maintenance tool for the user. In many cases it enables the identification of potential problems before a major repair is necessary. It involves the sampling and testing of used oil for various properties to monitor wear and contamination. Sampling and testing on a regular basis establishes a baseline of normal wear and can help indicate when abnormal wear or contamination is occurring.  Listed below is a brief guide to possible causes/sources of abnormal indicator levels. </w:t>
      </w:r>
      <w:r w:rsidRPr="00C92E27">
        <w:rPr>
          <w:rFonts w:ascii="Arial Narrow" w:hAnsi="Arial Narrow"/>
          <w:i/>
        </w:rPr>
        <w:t xml:space="preserve">(Please note that this is a </w:t>
      </w:r>
      <w:r w:rsidRPr="00C92E27">
        <w:rPr>
          <w:rFonts w:ascii="Arial Narrow" w:hAnsi="Arial Narrow"/>
          <w:i/>
          <w:u w:val="single"/>
        </w:rPr>
        <w:t>guide</w:t>
      </w:r>
      <w:r w:rsidRPr="00C92E27">
        <w:rPr>
          <w:rFonts w:ascii="Arial Narrow" w:hAnsi="Arial Narrow"/>
          <w:i/>
        </w:rPr>
        <w:t xml:space="preserve"> only). </w:t>
      </w:r>
      <w:r w:rsidRPr="00C92E27">
        <w:rPr>
          <w:rFonts w:ascii="Arial Narrow" w:hAnsi="Arial Narrow"/>
        </w:rPr>
        <w:t>Before commencing any major disassembly, thoroughly investigate and determine source of the problem and if necessary, re-sample and test.</w:t>
      </w:r>
    </w:p>
    <w:tbl>
      <w:tblPr>
        <w:tblW w:w="15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1008"/>
        <w:gridCol w:w="450"/>
        <w:gridCol w:w="630"/>
        <w:gridCol w:w="180"/>
        <w:gridCol w:w="540"/>
        <w:gridCol w:w="3600"/>
        <w:gridCol w:w="900"/>
        <w:gridCol w:w="540"/>
        <w:gridCol w:w="990"/>
        <w:gridCol w:w="180"/>
        <w:gridCol w:w="1350"/>
        <w:gridCol w:w="4860"/>
      </w:tblGrid>
      <w:tr w:rsidR="00870575" w:rsidTr="00F7737D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7A03D3" w:rsidRDefault="00870575" w:rsidP="00F7737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A03D3">
              <w:rPr>
                <w:b/>
                <w:sz w:val="16"/>
                <w:szCs w:val="16"/>
                <w:u w:val="single"/>
              </w:rPr>
              <w:t>PHYSICAL TESTS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8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rFonts w:ascii="StoneSans_Semi" w:hAnsi="StoneSans_Semi"/>
                <w:b/>
                <w:sz w:val="14"/>
              </w:rPr>
              <w:t>Viscosity Decrease</w:t>
            </w:r>
          </w:p>
        </w:tc>
        <w:tc>
          <w:tcPr>
            <w:tcW w:w="13140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 xml:space="preserve">Thinner oil may increase bearing and component wear. Can result from fuel dilution or the addition of </w:t>
            </w:r>
            <w:proofErr w:type="gramStart"/>
            <w:r>
              <w:rPr>
                <w:sz w:val="14"/>
              </w:rPr>
              <w:t>a lower</w:t>
            </w:r>
            <w:proofErr w:type="gramEnd"/>
            <w:r>
              <w:rPr>
                <w:sz w:val="14"/>
              </w:rPr>
              <w:t xml:space="preserve"> viscosity make-up oil.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8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rFonts w:ascii="StoneSans_Semi" w:hAnsi="StoneSans_Semi"/>
                <w:b/>
                <w:sz w:val="14"/>
              </w:rPr>
              <w:t>Viscosity Increase</w:t>
            </w:r>
          </w:p>
        </w:tc>
        <w:tc>
          <w:tcPr>
            <w:tcW w:w="13140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Thicker oil will not circulate as rapidly when cold. This can occur through extended high temperature operation, oil oxidation, over-extended oil drains or higher viscosity make-up oil.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8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70575" w:rsidRPr="006F682F" w:rsidRDefault="00870575" w:rsidP="00F7737D">
            <w:pPr>
              <w:rPr>
                <w:b/>
                <w:sz w:val="14"/>
              </w:rPr>
            </w:pPr>
            <w:r w:rsidRPr="006F682F">
              <w:rPr>
                <w:b/>
                <w:sz w:val="14"/>
              </w:rPr>
              <w:t>Water (W)</w:t>
            </w:r>
          </w:p>
        </w:tc>
        <w:tc>
          <w:tcPr>
            <w:tcW w:w="13140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Promotes oil oxidation, rust and affects oils ability to lubricate. Can result from low temperature operation, water ingress or internal water leaks.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8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70575" w:rsidRPr="006F682F" w:rsidRDefault="00870575" w:rsidP="00F7737D">
            <w:pPr>
              <w:rPr>
                <w:b/>
                <w:sz w:val="14"/>
              </w:rPr>
            </w:pPr>
            <w:r w:rsidRPr="006F682F">
              <w:rPr>
                <w:b/>
                <w:sz w:val="14"/>
              </w:rPr>
              <w:t>Fuel (F)</w:t>
            </w:r>
          </w:p>
        </w:tc>
        <w:tc>
          <w:tcPr>
            <w:tcW w:w="13140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Dilution reduces viscosity, prevents proper lubrication and may lower oil pressure. Can result from over fuelling, incomplete combustion, cracked or broken fuel lines, extended idling or defective fuel injectors.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8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70575" w:rsidRPr="006F682F" w:rsidRDefault="00870575" w:rsidP="00F7737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Total Base Number (TBN)</w:t>
            </w:r>
          </w:p>
        </w:tc>
        <w:tc>
          <w:tcPr>
            <w:tcW w:w="13140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Depleted TBN reduces the ability of the engine oil to prevent acidic corrosion occurring. Usually results from over extended oil drains.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8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70575" w:rsidRPr="006F682F" w:rsidRDefault="00870575" w:rsidP="00F7737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Total Acid Number (TAN)</w:t>
            </w:r>
          </w:p>
        </w:tc>
        <w:tc>
          <w:tcPr>
            <w:tcW w:w="13140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Increased TAN occurs due to oil oxidation and degradation. Results from over extended oil drain periods or extended high temperature operation.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522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jc w:val="center"/>
              <w:rPr>
                <w:sz w:val="14"/>
              </w:rPr>
            </w:pPr>
          </w:p>
        </w:tc>
      </w:tr>
      <w:tr w:rsidR="00870575" w:rsidRPr="007A03D3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7A03D3" w:rsidRDefault="00870575" w:rsidP="00F7737D">
            <w:pPr>
              <w:rPr>
                <w:sz w:val="16"/>
                <w:szCs w:val="16"/>
              </w:rPr>
            </w:pPr>
            <w:r w:rsidRPr="007A03D3">
              <w:rPr>
                <w:b/>
                <w:sz w:val="16"/>
                <w:szCs w:val="16"/>
                <w:u w:val="single"/>
              </w:rPr>
              <w:t>DEPOSITS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7A03D3">
              <w:rPr>
                <w:b/>
                <w:sz w:val="16"/>
                <w:szCs w:val="16"/>
                <w:u w:val="single"/>
              </w:rPr>
              <w:t>/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7A03D3">
              <w:rPr>
                <w:b/>
                <w:sz w:val="16"/>
                <w:szCs w:val="16"/>
                <w:u w:val="single"/>
              </w:rPr>
              <w:t>CONDITION</w:t>
            </w:r>
            <w:r w:rsidRPr="007A03D3">
              <w:rPr>
                <w:b/>
                <w:sz w:val="16"/>
                <w:szCs w:val="16"/>
              </w:rPr>
              <w:t xml:space="preserve"> (DEP)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“VD”   -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Visible non-magnetic debris/particles.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“VM”   -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Visible metallic (ferrous) debris.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“VB”    -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Visible brass/copper/bronze debris.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“VA”    -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Visible alloy (non-magnetic metal particles).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“TD”   -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Sample appears very dark (cannot be particle counted).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125D2B" w:rsidRDefault="00870575" w:rsidP="00F7737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“OX”   -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Oxidised odour.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jc w:val="center"/>
              <w:rPr>
                <w:sz w:val="14"/>
              </w:rPr>
            </w:pPr>
          </w:p>
        </w:tc>
      </w:tr>
      <w:tr w:rsidR="00870575" w:rsidRPr="007A03D3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7A03D3" w:rsidRDefault="00870575" w:rsidP="00F7737D">
            <w:pPr>
              <w:rPr>
                <w:sz w:val="16"/>
                <w:szCs w:val="16"/>
              </w:rPr>
            </w:pPr>
            <w:r w:rsidRPr="007A03D3">
              <w:rPr>
                <w:b/>
                <w:sz w:val="16"/>
                <w:szCs w:val="16"/>
                <w:u w:val="single"/>
              </w:rPr>
              <w:t>PARTICLE COUNT</w:t>
            </w:r>
            <w:r w:rsidRPr="007A03D3">
              <w:rPr>
                <w:b/>
                <w:sz w:val="16"/>
                <w:szCs w:val="16"/>
              </w:rPr>
              <w:t xml:space="preserve"> (PC)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This is a measure of the number of particles present in 1 ml of sample. The ISO code reported is a simple way to quantify particulate matter by size and is indicative of the “cleanliness” of the sample.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</w:p>
        </w:tc>
      </w:tr>
      <w:tr w:rsidR="00870575" w:rsidRPr="007A03D3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7A03D3" w:rsidRDefault="00870575" w:rsidP="00F7737D">
            <w:pPr>
              <w:rPr>
                <w:sz w:val="16"/>
                <w:szCs w:val="16"/>
              </w:rPr>
            </w:pPr>
            <w:r w:rsidRPr="007A03D3">
              <w:rPr>
                <w:b/>
                <w:sz w:val="16"/>
                <w:szCs w:val="16"/>
                <w:u w:val="single"/>
              </w:rPr>
              <w:t>PARTICLE QUANTIFIER</w:t>
            </w:r>
            <w:r w:rsidRPr="007A03D3">
              <w:rPr>
                <w:b/>
                <w:sz w:val="16"/>
                <w:szCs w:val="16"/>
              </w:rPr>
              <w:t xml:space="preserve"> (PQ)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 xml:space="preserve">The PQ Analyser measures ferrous particles using magneto meter technology and reports it as a </w:t>
            </w:r>
            <w:proofErr w:type="spellStart"/>
            <w:r>
              <w:rPr>
                <w:sz w:val="14"/>
              </w:rPr>
              <w:t>trendable</w:t>
            </w:r>
            <w:proofErr w:type="spellEnd"/>
            <w:r>
              <w:rPr>
                <w:sz w:val="14"/>
              </w:rPr>
              <w:t xml:space="preserve"> PQ Index Number.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7A03D3" w:rsidRDefault="00870575" w:rsidP="00F7737D">
            <w:pPr>
              <w:rPr>
                <w:b/>
                <w:sz w:val="16"/>
                <w:szCs w:val="16"/>
              </w:rPr>
            </w:pPr>
            <w:r w:rsidRPr="007A03D3">
              <w:rPr>
                <w:b/>
                <w:sz w:val="16"/>
                <w:szCs w:val="16"/>
                <w:u w:val="single"/>
              </w:rPr>
              <w:t>INFRA-RED ANALYSIS</w:t>
            </w:r>
            <w:r w:rsidRPr="007A03D3">
              <w:rPr>
                <w:b/>
                <w:sz w:val="16"/>
                <w:szCs w:val="16"/>
              </w:rPr>
              <w:t xml:space="preserve"> (FTIR)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This is a measure of oil condition (by Differential Scanning between the new and used oil) to indicate if oil is suitable for continued use.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808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870575" w:rsidRPr="00516737" w:rsidRDefault="00870575" w:rsidP="00F7737D">
            <w:pPr>
              <w:rPr>
                <w:b/>
                <w:sz w:val="14"/>
              </w:rPr>
            </w:pPr>
            <w:r w:rsidRPr="00516737">
              <w:rPr>
                <w:b/>
                <w:sz w:val="14"/>
              </w:rPr>
              <w:t>SOOT (ST)</w:t>
            </w:r>
          </w:p>
        </w:tc>
        <w:tc>
          <w:tcPr>
            <w:tcW w:w="12420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Soot is a normal by-product of combustion. Excessive soot will increase the oil viscosity and may be caused through over extended oil drains, incomplete combustion or excessive blow-by.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808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870575" w:rsidRPr="00516737" w:rsidRDefault="00870575" w:rsidP="00F7737D">
            <w:pPr>
              <w:rPr>
                <w:b/>
                <w:sz w:val="14"/>
              </w:rPr>
            </w:pPr>
            <w:r w:rsidRPr="00516737">
              <w:rPr>
                <w:b/>
                <w:sz w:val="14"/>
              </w:rPr>
              <w:t>OXIDATION (OXI)</w:t>
            </w:r>
          </w:p>
        </w:tc>
        <w:tc>
          <w:tcPr>
            <w:tcW w:w="12420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Oil oxidises with age and service and from improper operating conditions. This may result in an increase in viscosity, because of the formation of sludge and varnish deposits.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808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870575" w:rsidRPr="00516737" w:rsidRDefault="00870575" w:rsidP="00F7737D">
            <w:pPr>
              <w:rPr>
                <w:b/>
                <w:sz w:val="14"/>
              </w:rPr>
            </w:pPr>
            <w:r w:rsidRPr="00516737">
              <w:rPr>
                <w:b/>
                <w:sz w:val="14"/>
              </w:rPr>
              <w:t>NITRATION (NIT)</w:t>
            </w:r>
          </w:p>
        </w:tc>
        <w:tc>
          <w:tcPr>
            <w:tcW w:w="12420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Nitrogen compounds which contaminate the oil are formed by the combustion process and are an indicator of blow-by which can result in oil thickening and plugged filters.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808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870575" w:rsidRPr="00516737" w:rsidRDefault="00870575" w:rsidP="00F7737D">
            <w:pPr>
              <w:rPr>
                <w:b/>
                <w:sz w:val="14"/>
              </w:rPr>
            </w:pPr>
            <w:r w:rsidRPr="00516737">
              <w:rPr>
                <w:b/>
                <w:sz w:val="14"/>
              </w:rPr>
              <w:t>SULPHATION PRODUCTS (SUL)</w:t>
            </w:r>
          </w:p>
        </w:tc>
        <w:tc>
          <w:tcPr>
            <w:tcW w:w="12420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These are by-products of diesel fuel combustion that contaminate the oil. These by-products are corrosive and deplete the neutralising properties of the oil.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522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26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870575" w:rsidRPr="00516737" w:rsidRDefault="00870575" w:rsidP="00F7737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INORGANIC CHLORIDES</w:t>
            </w:r>
          </w:p>
        </w:tc>
        <w:tc>
          <w:tcPr>
            <w:tcW w:w="12960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870575" w:rsidRPr="00125D2B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A positive result indicates the presence of salt water.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26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870575" w:rsidRDefault="00870575" w:rsidP="00F7737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GLYCOL</w:t>
            </w:r>
          </w:p>
        </w:tc>
        <w:tc>
          <w:tcPr>
            <w:tcW w:w="12960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A positive result indicates the presence of anti-freeze engine coolant.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jc w:val="center"/>
              <w:rPr>
                <w:sz w:val="14"/>
              </w:rPr>
            </w:pP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 w:rsidRPr="007A03D3">
              <w:rPr>
                <w:b/>
                <w:sz w:val="16"/>
                <w:szCs w:val="16"/>
                <w:u w:val="single"/>
              </w:rPr>
              <w:t xml:space="preserve">WEAR </w:t>
            </w:r>
            <w:r w:rsidRPr="00B15F83">
              <w:rPr>
                <w:b/>
                <w:sz w:val="16"/>
                <w:szCs w:val="16"/>
                <w:u w:val="single"/>
              </w:rPr>
              <w:t>ELEMENTS</w:t>
            </w:r>
            <w:r w:rsidRPr="00B15F83">
              <w:rPr>
                <w:b/>
                <w:sz w:val="14"/>
              </w:rPr>
              <w:t xml:space="preserve"> </w:t>
            </w:r>
            <w:r w:rsidRPr="00B15F83">
              <w:rPr>
                <w:b/>
                <w:sz w:val="16"/>
                <w:szCs w:val="16"/>
              </w:rPr>
              <w:t>(ICP)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Pr="0019403D" w:rsidRDefault="00870575" w:rsidP="00F7737D">
            <w:pPr>
              <w:rPr>
                <w:b/>
                <w:sz w:val="14"/>
                <w:szCs w:val="14"/>
                <w:u w:val="single"/>
              </w:rPr>
            </w:pPr>
            <w:r w:rsidRPr="0019403D">
              <w:rPr>
                <w:sz w:val="14"/>
                <w:szCs w:val="14"/>
              </w:rPr>
              <w:t>Induction Coupled Plasma</w:t>
            </w:r>
            <w:r>
              <w:rPr>
                <w:sz w:val="14"/>
                <w:szCs w:val="14"/>
              </w:rPr>
              <w:t xml:space="preserve"> (ICP)</w:t>
            </w:r>
            <w:r w:rsidRPr="0019403D">
              <w:rPr>
                <w:sz w:val="14"/>
                <w:szCs w:val="14"/>
              </w:rPr>
              <w:t xml:space="preserve"> Spectrometer measures in parts per million (PPM)</w:t>
            </w:r>
            <w:r>
              <w:rPr>
                <w:sz w:val="14"/>
                <w:szCs w:val="14"/>
              </w:rPr>
              <w:t>. This is a microgram measurement by weight of dissolved elements in the oil sample.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Copper (Cu)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Bushings; bearings; thrust washers; oil coolers; trans friction discs; swash plates; “</w:t>
            </w:r>
            <w:proofErr w:type="spellStart"/>
            <w:r>
              <w:rPr>
                <w:sz w:val="14"/>
              </w:rPr>
              <w:t>Kopr-Kote</w:t>
            </w:r>
            <w:proofErr w:type="spellEnd"/>
            <w:r>
              <w:rPr>
                <w:sz w:val="14"/>
              </w:rPr>
              <w:t>” anti-seize compound.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Boron (B)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Detergent/dispersant additives; anti-freeze inhibitors.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Iron (Fe)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Liners; piston rings; gears; crankshafts; cam shafts; valve guides.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Magnesium (Mg)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Detergent/dispersant additive.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Chromium (Cr)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Piston rings; ball &amp; roller bearings; chrome plated parts; water treatment; hydraulic cylinder liners.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Zinc (Zn)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Anti-wear additive.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Lead (</w:t>
            </w:r>
            <w:proofErr w:type="spellStart"/>
            <w:r>
              <w:rPr>
                <w:sz w:val="14"/>
              </w:rPr>
              <w:t>Pb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Main &amp; con rod bearings; turbocharger bearings; bushings; thrust washers; oil additives.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Cadmium (Cd)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Internal Standard.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Aluminium (Al)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Pistons; bearings; thrust washers; torque converter components; pump bushings.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Nickel (Ni)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Trace element in steel.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Silicon (Si)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Sand/dirt/dust ingress; oil anti-foam additive; sealants.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Silver (Ag)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Wrist pin bearings in EMD engines.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Sodium (Na)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Coolant inhibitors, road salt; ingested dirt; proprietary oil additives.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Potassium (K)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Coolant inhibitor; additive in some oils.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Tin (Sn)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Piston coatings; bearing overlay.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Calcium (C)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Detergent/dispersant additive.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Molybdenum (Mo)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Anti-wear additives; some types of piston rings.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Phosphorus (P)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Anti-wear additive.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Manganese (</w:t>
            </w:r>
            <w:proofErr w:type="spellStart"/>
            <w:r>
              <w:rPr>
                <w:sz w:val="14"/>
              </w:rPr>
              <w:t>Mn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Trace element.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Barium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Detergent/dispersant additive.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Titanium (</w:t>
            </w:r>
            <w:proofErr w:type="spellStart"/>
            <w:r>
              <w:rPr>
                <w:sz w:val="14"/>
              </w:rPr>
              <w:t>Ti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738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Trace element.</w:t>
            </w:r>
          </w:p>
        </w:tc>
        <w:tc>
          <w:tcPr>
            <w:tcW w:w="15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Vanadium (V)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575" w:rsidRDefault="00870575" w:rsidP="00F7737D">
            <w:pPr>
              <w:rPr>
                <w:sz w:val="14"/>
              </w:rPr>
            </w:pPr>
            <w:r>
              <w:rPr>
                <w:sz w:val="14"/>
              </w:rPr>
              <w:t>Heavy fuel oil contamination.</w:t>
            </w:r>
          </w:p>
        </w:tc>
      </w:tr>
      <w:tr w:rsidR="00870575" w:rsidRPr="005551F3" w:rsidTr="00F773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2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5551F3" w:rsidRDefault="00870575" w:rsidP="00F7737D">
            <w:pPr>
              <w:rPr>
                <w:sz w:val="16"/>
                <w:szCs w:val="16"/>
                <w:u w:val="single"/>
              </w:rPr>
            </w:pPr>
            <w:r w:rsidRPr="005551F3">
              <w:rPr>
                <w:b/>
                <w:sz w:val="16"/>
                <w:szCs w:val="16"/>
                <w:u w:val="single"/>
              </w:rPr>
              <w:t>REPORT OVERALL EVALUATION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2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D92898" w:rsidRDefault="00870575" w:rsidP="00F7737D">
            <w:pPr>
              <w:rPr>
                <w:sz w:val="16"/>
                <w:szCs w:val="16"/>
              </w:rPr>
            </w:pPr>
            <w:r w:rsidRPr="00D92898">
              <w:rPr>
                <w:sz w:val="16"/>
                <w:szCs w:val="16"/>
              </w:rPr>
              <w:t>One of the following codes has been assigned to this report interpretation, and may be influenced by previous results.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D92898" w:rsidRDefault="00870575" w:rsidP="00F7737D">
            <w:pPr>
              <w:jc w:val="center"/>
              <w:rPr>
                <w:sz w:val="16"/>
                <w:szCs w:val="16"/>
              </w:rPr>
            </w:pPr>
            <w:r w:rsidRPr="00D92898">
              <w:rPr>
                <w:b/>
                <w:sz w:val="16"/>
                <w:szCs w:val="16"/>
              </w:rPr>
              <w:t xml:space="preserve">“A” </w:t>
            </w:r>
            <w:r w:rsidRPr="00D92898">
              <w:rPr>
                <w:sz w:val="16"/>
                <w:szCs w:val="16"/>
              </w:rPr>
              <w:t xml:space="preserve">    </w:t>
            </w:r>
            <w:r w:rsidRPr="00D92898">
              <w:rPr>
                <w:b/>
                <w:sz w:val="16"/>
                <w:szCs w:val="16"/>
              </w:rPr>
              <w:t xml:space="preserve"> -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D92898" w:rsidRDefault="00870575" w:rsidP="00F7737D">
            <w:pPr>
              <w:rPr>
                <w:sz w:val="16"/>
                <w:szCs w:val="16"/>
              </w:rPr>
            </w:pPr>
            <w:r w:rsidRPr="00D92898">
              <w:rPr>
                <w:sz w:val="16"/>
                <w:szCs w:val="16"/>
              </w:rPr>
              <w:t>Normal wear is occurring; no action required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D92898" w:rsidRDefault="00870575" w:rsidP="00F7737D">
            <w:pPr>
              <w:rPr>
                <w:b/>
                <w:sz w:val="16"/>
                <w:szCs w:val="16"/>
              </w:rPr>
            </w:pPr>
            <w:r w:rsidRPr="00D92898">
              <w:rPr>
                <w:b/>
                <w:sz w:val="16"/>
                <w:szCs w:val="16"/>
              </w:rPr>
              <w:t>“B”     -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575" w:rsidRPr="00D92898" w:rsidRDefault="00870575" w:rsidP="00F7737D">
            <w:pPr>
              <w:rPr>
                <w:sz w:val="16"/>
                <w:szCs w:val="16"/>
              </w:rPr>
            </w:pPr>
            <w:r w:rsidRPr="00D92898">
              <w:rPr>
                <w:sz w:val="16"/>
                <w:szCs w:val="16"/>
              </w:rPr>
              <w:t>Increased wear is occurring; corrective action may be required, or more information is required by the laboratory.</w:t>
            </w:r>
          </w:p>
        </w:tc>
      </w:tr>
      <w:tr w:rsidR="00870575" w:rsidTr="00F773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70575" w:rsidRPr="00D92898" w:rsidRDefault="00870575" w:rsidP="00F7737D">
            <w:pPr>
              <w:jc w:val="center"/>
              <w:rPr>
                <w:b/>
                <w:sz w:val="16"/>
                <w:szCs w:val="16"/>
              </w:rPr>
            </w:pPr>
            <w:r w:rsidRPr="00D92898">
              <w:rPr>
                <w:b/>
                <w:sz w:val="16"/>
                <w:szCs w:val="16"/>
              </w:rPr>
              <w:t>“C”      -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575" w:rsidRPr="00D92898" w:rsidRDefault="00870575" w:rsidP="00F7737D">
            <w:pPr>
              <w:rPr>
                <w:sz w:val="16"/>
                <w:szCs w:val="16"/>
              </w:rPr>
            </w:pPr>
            <w:r w:rsidRPr="00D92898">
              <w:rPr>
                <w:sz w:val="16"/>
                <w:szCs w:val="16"/>
              </w:rPr>
              <w:t>Abnormal wear is occurring; corrective action is required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70575" w:rsidRPr="00D92898" w:rsidRDefault="00870575" w:rsidP="00F7737D">
            <w:pPr>
              <w:rPr>
                <w:b/>
                <w:sz w:val="16"/>
                <w:szCs w:val="16"/>
              </w:rPr>
            </w:pPr>
            <w:r w:rsidRPr="00D92898">
              <w:rPr>
                <w:b/>
                <w:sz w:val="16"/>
                <w:szCs w:val="16"/>
              </w:rPr>
              <w:t>“X”     -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575" w:rsidRPr="00D92898" w:rsidRDefault="00870575" w:rsidP="00F7737D">
            <w:pPr>
              <w:rPr>
                <w:sz w:val="16"/>
                <w:szCs w:val="16"/>
              </w:rPr>
            </w:pPr>
            <w:r w:rsidRPr="00D92898">
              <w:rPr>
                <w:sz w:val="16"/>
                <w:szCs w:val="16"/>
              </w:rPr>
              <w:t>Extreme or critical wear is occurring; immediate corrective action is required</w:t>
            </w:r>
          </w:p>
        </w:tc>
      </w:tr>
    </w:tbl>
    <w:p w:rsidR="00870575" w:rsidRPr="005551F3" w:rsidRDefault="00870575" w:rsidP="00870575">
      <w:pPr>
        <w:pStyle w:val="Footer"/>
        <w:jc w:val="center"/>
        <w:rPr>
          <w:sz w:val="18"/>
          <w:szCs w:val="18"/>
        </w:rPr>
      </w:pPr>
      <w:proofErr w:type="gramStart"/>
      <w:r w:rsidRPr="005551F3">
        <w:rPr>
          <w:sz w:val="18"/>
          <w:szCs w:val="18"/>
        </w:rPr>
        <w:t xml:space="preserve">For further information contact </w:t>
      </w:r>
      <w:r>
        <w:rPr>
          <w:sz w:val="18"/>
          <w:szCs w:val="18"/>
        </w:rPr>
        <w:t xml:space="preserve">Caltex </w:t>
      </w:r>
      <w:r w:rsidRPr="005551F3">
        <w:rPr>
          <w:sz w:val="18"/>
          <w:szCs w:val="18"/>
        </w:rPr>
        <w:t>Technical support on Freephone 0800 733 835</w:t>
      </w:r>
      <w:r>
        <w:rPr>
          <w:sz w:val="18"/>
          <w:szCs w:val="18"/>
        </w:rPr>
        <w:t xml:space="preserve"> selecting Option 3</w:t>
      </w:r>
      <w:r w:rsidRPr="005551F3">
        <w:rPr>
          <w:sz w:val="18"/>
          <w:szCs w:val="18"/>
        </w:rPr>
        <w:t>.</w:t>
      </w:r>
      <w:proofErr w:type="gramEnd"/>
    </w:p>
    <w:p w:rsidR="00870575" w:rsidRDefault="00870575" w:rsidP="00870575">
      <w:pPr>
        <w:autoSpaceDE w:val="0"/>
        <w:autoSpaceDN w:val="0"/>
        <w:adjustRightInd w:val="0"/>
        <w:rPr>
          <w:rFonts w:ascii="Times New Roman" w:hAnsi="Times New Roman"/>
          <w:b/>
          <w:bCs/>
          <w:sz w:val="14"/>
          <w:szCs w:val="14"/>
          <w:lang w:val="en-US"/>
        </w:rPr>
      </w:pPr>
      <w:r>
        <w:rPr>
          <w:rFonts w:ascii="Times New Roman" w:hAnsi="Times New Roman"/>
          <w:b/>
          <w:bCs/>
          <w:sz w:val="14"/>
          <w:szCs w:val="14"/>
          <w:lang w:val="en-US"/>
        </w:rPr>
        <w:t xml:space="preserve">DISCLAIMER: This analysis is intended as an aid in predicting mechanical wear and should be used in conjunction with (and not as a replacement for) your normal maintenance routine for the care of your machinery. Due care has been taken in the processing of the oil sample/samples supplied by the user and in the preparation of this analysis but Z Energy 2015 Ltd, New Zealand will not have any liability or bear any responsibility for any failure of any machinery or parts </w:t>
      </w:r>
      <w:proofErr w:type="gramStart"/>
      <w:r>
        <w:rPr>
          <w:rFonts w:ascii="Times New Roman" w:hAnsi="Times New Roman"/>
          <w:b/>
          <w:bCs/>
          <w:sz w:val="14"/>
          <w:szCs w:val="14"/>
          <w:lang w:val="en-US"/>
        </w:rPr>
        <w:t>thereof  or</w:t>
      </w:r>
      <w:proofErr w:type="gramEnd"/>
      <w:r>
        <w:rPr>
          <w:rFonts w:ascii="Times New Roman" w:hAnsi="Times New Roman"/>
          <w:b/>
          <w:bCs/>
          <w:sz w:val="14"/>
          <w:szCs w:val="14"/>
          <w:lang w:val="en-US"/>
        </w:rPr>
        <w:t xml:space="preserve"> any other loss or damage suffered directly or indirectly as a result of the analysis provided. The user remains responsible for the proper maintenance and care of the subject machinery.</w:t>
      </w:r>
    </w:p>
    <w:p w:rsidR="00DE7158" w:rsidRDefault="00870575">
      <w:bookmarkStart w:id="0" w:name="_GoBack"/>
      <w:bookmarkEnd w:id="0"/>
    </w:p>
    <w:sectPr w:rsidR="00DE7158" w:rsidSect="004342B4">
      <w:footerReference w:type="default" r:id="rId5"/>
      <w:pgSz w:w="16840" w:h="11907" w:orient="landscape" w:code="9"/>
      <w:pgMar w:top="432" w:right="864" w:bottom="288" w:left="720" w:header="283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Sans_Regula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neSans_S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B4" w:rsidRPr="004342B4" w:rsidRDefault="00870575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June 2016</w:t>
    </w:r>
  </w:p>
  <w:p w:rsidR="004342B4" w:rsidRDefault="0087057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75"/>
    <w:rsid w:val="003B62D6"/>
    <w:rsid w:val="00870575"/>
    <w:rsid w:val="00C5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75"/>
    <w:pPr>
      <w:spacing w:after="0" w:line="240" w:lineRule="auto"/>
    </w:pPr>
    <w:rPr>
      <w:rFonts w:ascii="StoneSans_Regular" w:eastAsia="Times New Roman" w:hAnsi="StoneSans_Regul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0575"/>
    <w:pPr>
      <w:jc w:val="both"/>
    </w:pPr>
    <w:rPr>
      <w:sz w:val="16"/>
    </w:rPr>
  </w:style>
  <w:style w:type="character" w:customStyle="1" w:styleId="BodyTextChar">
    <w:name w:val="Body Text Char"/>
    <w:basedOn w:val="DefaultParagraphFont"/>
    <w:link w:val="BodyText"/>
    <w:rsid w:val="00870575"/>
    <w:rPr>
      <w:rFonts w:ascii="StoneSans_Regular" w:eastAsia="Times New Roman" w:hAnsi="StoneSans_Regular" w:cs="Times New Roman"/>
      <w:sz w:val="16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705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575"/>
    <w:rPr>
      <w:rFonts w:ascii="StoneSans_Regular" w:eastAsia="Times New Roman" w:hAnsi="StoneSans_Regular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75"/>
    <w:pPr>
      <w:spacing w:after="0" w:line="240" w:lineRule="auto"/>
    </w:pPr>
    <w:rPr>
      <w:rFonts w:ascii="StoneSans_Regular" w:eastAsia="Times New Roman" w:hAnsi="StoneSans_Regul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0575"/>
    <w:pPr>
      <w:jc w:val="both"/>
    </w:pPr>
    <w:rPr>
      <w:sz w:val="16"/>
    </w:rPr>
  </w:style>
  <w:style w:type="character" w:customStyle="1" w:styleId="BodyTextChar">
    <w:name w:val="Body Text Char"/>
    <w:basedOn w:val="DefaultParagraphFont"/>
    <w:link w:val="BodyText"/>
    <w:rsid w:val="00870575"/>
    <w:rPr>
      <w:rFonts w:ascii="StoneSans_Regular" w:eastAsia="Times New Roman" w:hAnsi="StoneSans_Regular" w:cs="Times New Roman"/>
      <w:sz w:val="16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705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575"/>
    <w:rPr>
      <w:rFonts w:ascii="StoneSans_Regular" w:eastAsia="Times New Roman" w:hAnsi="StoneSans_Regula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Stephenson</dc:creator>
  <cp:lastModifiedBy>Alex Stephenson</cp:lastModifiedBy>
  <cp:revision>1</cp:revision>
  <dcterms:created xsi:type="dcterms:W3CDTF">2016-05-13T00:09:00Z</dcterms:created>
  <dcterms:modified xsi:type="dcterms:W3CDTF">2016-05-13T00:13:00Z</dcterms:modified>
</cp:coreProperties>
</file>